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949B7" w14:textId="796B0148" w:rsidR="00D11A4D" w:rsidRDefault="007638B6" w:rsidP="00A01C01">
      <w:pPr>
        <w:pStyle w:val="Title"/>
      </w:pPr>
      <w:bookmarkStart w:id="0" w:name="_GoBack"/>
      <w:bookmarkEnd w:id="0"/>
      <w:r>
        <w:t>faq based on call with A</w:t>
      </w:r>
      <w:r w:rsidR="00E64A08">
        <w:t>CL and SUA Directors on april 22</w:t>
      </w:r>
      <w:r>
        <w:t>, 2020</w:t>
      </w:r>
    </w:p>
    <w:p w14:paraId="5233A8D7" w14:textId="77777777" w:rsidR="007638B6" w:rsidRPr="007638B6" w:rsidRDefault="007638B6" w:rsidP="007638B6"/>
    <w:p w14:paraId="7E1146DD" w14:textId="7C2950F8" w:rsidR="007638B6" w:rsidRDefault="00C86DB8" w:rsidP="002E3B47">
      <w:pPr>
        <w:pStyle w:val="Subtitle"/>
      </w:pPr>
      <w:r>
        <w:t>This</w:t>
      </w:r>
      <w:r w:rsidR="007638B6">
        <w:t xml:space="preserve"> FAQ contains questions and answers from ACL’s cal</w:t>
      </w:r>
      <w:r w:rsidR="00E64A08">
        <w:t>l with SUA Directors on April 22</w:t>
      </w:r>
      <w:r w:rsidR="007638B6">
        <w:t xml:space="preserve">, 2020. </w:t>
      </w:r>
    </w:p>
    <w:p w14:paraId="0B20225B" w14:textId="69674900" w:rsidR="0028282F" w:rsidRPr="002E3B47" w:rsidRDefault="00D2295E" w:rsidP="002E3B47">
      <w:pPr>
        <w:pStyle w:val="Subtitle"/>
      </w:pPr>
      <w:r>
        <w:t>(Issued 4/29</w:t>
      </w:r>
      <w:r w:rsidR="005A4BC6">
        <w:t>/2020</w:t>
      </w:r>
      <w:r w:rsidR="00B578BB">
        <w:t>)</w:t>
      </w:r>
    </w:p>
    <w:p w14:paraId="1EE2ED96" w14:textId="77777777" w:rsidR="00D2295E" w:rsidRDefault="00D2295E" w:rsidP="00D2295E">
      <w:pPr>
        <w:pStyle w:val="Title"/>
      </w:pPr>
      <w:r w:rsidRPr="00E97C9D">
        <w:t>Presentation Summaries:</w:t>
      </w:r>
    </w:p>
    <w:p w14:paraId="02C15522" w14:textId="77777777" w:rsidR="00D2295E" w:rsidRPr="00E97C9D" w:rsidRDefault="00D2295E" w:rsidP="00D2295E"/>
    <w:p w14:paraId="4DEBB153" w14:textId="77777777" w:rsidR="00D2295E" w:rsidRPr="00124FA8" w:rsidRDefault="00D2295E" w:rsidP="00D2295E">
      <w:pPr>
        <w:rPr>
          <w:b/>
          <w:u w:val="single"/>
        </w:rPr>
      </w:pPr>
      <w:r w:rsidRPr="00124FA8">
        <w:rPr>
          <w:b/>
          <w:u w:val="single"/>
        </w:rPr>
        <w:t>Dr. Hope Thompson, Economist, Office of Policy and Program Analysis, F</w:t>
      </w:r>
      <w:r>
        <w:rPr>
          <w:b/>
          <w:u w:val="single"/>
        </w:rPr>
        <w:t>e</w:t>
      </w:r>
      <w:r w:rsidRPr="00124FA8">
        <w:rPr>
          <w:b/>
          <w:u w:val="single"/>
        </w:rPr>
        <w:t>deral Emergency Management Agency (FEMA)</w:t>
      </w:r>
    </w:p>
    <w:p w14:paraId="65FE8AEE" w14:textId="77777777" w:rsidR="00D2295E" w:rsidRDefault="00D2295E" w:rsidP="00D2295E">
      <w:r>
        <w:t xml:space="preserve">Dr. Thompson serves on a team that monitors problems related to food banks, food assistance programs and serving the food needs of the nation's most vulnerable populations.  The team is currently monitoring problems such as, reports of canceled orders to food banks and food programs due to USDA or FEMA large purchases, PPE issues and lack of availability for volunteers.  FEMA hosts a weekly interagency coordination call to discuss current efforts to combat these issues. </w:t>
      </w:r>
    </w:p>
    <w:p w14:paraId="7124ABC4" w14:textId="77777777" w:rsidR="00D2295E" w:rsidRPr="00E64A08" w:rsidRDefault="00D2295E" w:rsidP="00D2295E">
      <w:r w:rsidRPr="00E64A08">
        <w:t xml:space="preserve">FEMA Public Assistance Program </w:t>
      </w:r>
      <w:r>
        <w:t>serves</w:t>
      </w:r>
      <w:r w:rsidRPr="00E64A08">
        <w:t xml:space="preserve"> to meet the immediate needs of people who </w:t>
      </w:r>
      <w:r>
        <w:t>lack</w:t>
      </w:r>
      <w:r w:rsidRPr="00E64A08">
        <w:t xml:space="preserve"> access to food </w:t>
      </w:r>
      <w:r>
        <w:t>because</w:t>
      </w:r>
      <w:r w:rsidRPr="00E64A08">
        <w:t xml:space="preserve"> of COVID</w:t>
      </w:r>
      <w:r>
        <w:t xml:space="preserve">-19 and </w:t>
      </w:r>
      <w:r w:rsidRPr="00E64A08">
        <w:t>protect</w:t>
      </w:r>
      <w:r>
        <w:t>s</w:t>
      </w:r>
      <w:r w:rsidRPr="00E64A08">
        <w:t xml:space="preserve"> the public from the spread of the virus. The policy has the ability </w:t>
      </w:r>
      <w:r>
        <w:t xml:space="preserve">to </w:t>
      </w:r>
      <w:r w:rsidRPr="00E64A08">
        <w:t xml:space="preserve">cover </w:t>
      </w:r>
      <w:r>
        <w:t xml:space="preserve">various costs related to ensuring those in need have access to food (i.e. food banks, home delivery, etc.). Each state must communicate the specific needs of their population, and </w:t>
      </w:r>
      <w:r w:rsidRPr="00E64A08">
        <w:t xml:space="preserve">applicants seeking reimbursement for such costs </w:t>
      </w:r>
      <w:r>
        <w:t>must be the actual state,</w:t>
      </w:r>
      <w:r w:rsidRPr="00E64A08">
        <w:t xml:space="preserve"> tribal, or territorial government. All private non-profits</w:t>
      </w:r>
      <w:r>
        <w:t xml:space="preserve"> must have formal agreements with their local, state</w:t>
      </w:r>
      <w:r w:rsidRPr="00E64A08">
        <w:t xml:space="preserve">, tribal or territorial government </w:t>
      </w:r>
      <w:r>
        <w:t>making them</w:t>
      </w:r>
      <w:r w:rsidRPr="00E64A08">
        <w:t xml:space="preserve"> </w:t>
      </w:r>
      <w:r>
        <w:t xml:space="preserve">legally responsible for providing specific life safety services to receive funding. For specific questions related to this program, please contact your local FEMA regional office. </w:t>
      </w:r>
    </w:p>
    <w:p w14:paraId="3422EA67" w14:textId="77777777" w:rsidR="005F2530" w:rsidRDefault="005F2530" w:rsidP="00D2295E">
      <w:pPr>
        <w:rPr>
          <w:b/>
          <w:u w:val="single"/>
        </w:rPr>
      </w:pPr>
    </w:p>
    <w:p w14:paraId="26DE8035" w14:textId="608046A4" w:rsidR="00D2295E" w:rsidRPr="00124FA8" w:rsidRDefault="00D2295E" w:rsidP="00D2295E">
      <w:pPr>
        <w:rPr>
          <w:b/>
        </w:rPr>
      </w:pPr>
      <w:r w:rsidRPr="00124FA8">
        <w:rPr>
          <w:b/>
          <w:u w:val="single"/>
        </w:rPr>
        <w:t>Dr. Alexis Travis, Senior Deputy Director, Michigan Aging and Adult Services Agency</w:t>
      </w:r>
    </w:p>
    <w:p w14:paraId="40E92A6D" w14:textId="77777777" w:rsidR="00D2295E" w:rsidRPr="00E64A08" w:rsidRDefault="00D2295E" w:rsidP="00D2295E">
      <w:r w:rsidRPr="00E64A08">
        <w:t>AARP Michigan</w:t>
      </w:r>
      <w:r>
        <w:t xml:space="preserve"> (MI) connected MI </w:t>
      </w:r>
      <w:r w:rsidRPr="00E64A08">
        <w:t>State Unit on Aging (SUA) to the Food Bank Council (Council) of Michigan</w:t>
      </w:r>
      <w:r>
        <w:t xml:space="preserve"> in order to assist older adults (age 60+) throughout the state who cannot access food due to the stay-at-home order</w:t>
      </w:r>
      <w:r w:rsidRPr="00E64A08">
        <w:t>.  MI SUA purchased 10,000 quarantine box</w:t>
      </w:r>
      <w:r>
        <w:t>es (Q-b</w:t>
      </w:r>
      <w:r w:rsidRPr="00E64A08">
        <w:t>ox</w:t>
      </w:r>
      <w:r>
        <w:t>es</w:t>
      </w:r>
      <w:r w:rsidRPr="00E64A08">
        <w:t>) from the Council</w:t>
      </w:r>
      <w:r>
        <w:t>, and the</w:t>
      </w:r>
      <w:r w:rsidRPr="00E64A08">
        <w:t xml:space="preserve"> Area Agencies on Aging (AAA) distributed </w:t>
      </w:r>
      <w:r>
        <w:t>the Q-b</w:t>
      </w:r>
      <w:r w:rsidRPr="00E64A08">
        <w:t xml:space="preserve">oxes throughout </w:t>
      </w:r>
      <w:r>
        <w:t>the state</w:t>
      </w:r>
      <w:r w:rsidRPr="00E64A08">
        <w:t xml:space="preserve">. </w:t>
      </w:r>
    </w:p>
    <w:p w14:paraId="386CE264" w14:textId="77777777" w:rsidR="00D2295E" w:rsidRPr="00E64A08" w:rsidRDefault="00D2295E" w:rsidP="00D2295E">
      <w:r>
        <w:t xml:space="preserve">Initially, </w:t>
      </w:r>
      <w:r w:rsidRPr="00E64A08">
        <w:t>MI SUA p</w:t>
      </w:r>
      <w:r>
        <w:t xml:space="preserve">urchased Q-boxes through the Aging Adult Services Agency </w:t>
      </w:r>
      <w:r w:rsidRPr="00E64A08">
        <w:t>using administrative funds</w:t>
      </w:r>
      <w:r>
        <w:t>.  However, now MI SUA is working with the</w:t>
      </w:r>
      <w:r w:rsidRPr="00E64A08">
        <w:t xml:space="preserve"> public</w:t>
      </w:r>
      <w:r>
        <w:t xml:space="preserve"> and other funding sources</w:t>
      </w:r>
      <w:r w:rsidRPr="00E64A08">
        <w:t xml:space="preserve"> to raise additional d</w:t>
      </w:r>
      <w:r>
        <w:t xml:space="preserve">ollars. For example, SUA </w:t>
      </w:r>
      <w:r w:rsidRPr="00E64A08">
        <w:t>raised $40,000 from the public through a virtual food-drive</w:t>
      </w:r>
      <w:r>
        <w:t xml:space="preserve"> and plans to </w:t>
      </w:r>
      <w:r w:rsidRPr="00E64A08">
        <w:t>use th</w:t>
      </w:r>
      <w:r>
        <w:t>ese funds to make additional Q-b</w:t>
      </w:r>
      <w:r w:rsidRPr="00E64A08">
        <w:t xml:space="preserve">oxes available.  Each </w:t>
      </w:r>
      <w:r>
        <w:t>Q-box costs approximately $28 and</w:t>
      </w:r>
      <w:r w:rsidRPr="00E64A08">
        <w:t xml:space="preserve"> </w:t>
      </w:r>
      <w:r>
        <w:t xml:space="preserve">contains 33 food items, such as chicken, green beans, peanut butter, rice and </w:t>
      </w:r>
      <w:r>
        <w:lastRenderedPageBreak/>
        <w:t xml:space="preserve">tomatoes.  Altogether, the Q-boxes provide approximately </w:t>
      </w:r>
      <w:r w:rsidRPr="00E64A08">
        <w:t>22 well-balanced meals</w:t>
      </w:r>
      <w:r>
        <w:t xml:space="preserve"> designed to feed recipients for ten days</w:t>
      </w:r>
      <w:r w:rsidRPr="00E64A08">
        <w:t xml:space="preserve">.  </w:t>
      </w:r>
      <w:r>
        <w:t>The boxes also contain</w:t>
      </w:r>
      <w:r w:rsidRPr="00E64A08">
        <w:t xml:space="preserve"> breakfast, lunch, and dinner recipes for seniors who are food insecure. </w:t>
      </w:r>
    </w:p>
    <w:p w14:paraId="4435DAAA" w14:textId="77777777" w:rsidR="00D2295E" w:rsidRDefault="00D2295E" w:rsidP="00D2295E">
      <w:r w:rsidRPr="00E64A08">
        <w:t>MI SUA is also using state level funds</w:t>
      </w:r>
      <w:r>
        <w:t xml:space="preserve"> to issue mini grants for virtual delivery for support groups, friendly reassurance, and other evidence-based programs that support seniors. </w:t>
      </w:r>
      <w:r w:rsidRPr="00E64A08">
        <w:t>Currently, the SUA has about 3</w:t>
      </w:r>
      <w:r>
        <w:t>,</w:t>
      </w:r>
      <w:r w:rsidRPr="00E64A08">
        <w:t xml:space="preserve">000 volunteers </w:t>
      </w:r>
      <w:r>
        <w:t xml:space="preserve">delivering meals, Q-boxes and providing friendly reassurance. MI SUA developed </w:t>
      </w:r>
      <w:r w:rsidRPr="00E64A08">
        <w:t>a po</w:t>
      </w:r>
      <w:r>
        <w:t xml:space="preserve">rtal where individuals can volunteer to assist with these services. </w:t>
      </w:r>
    </w:p>
    <w:p w14:paraId="74088D04" w14:textId="77777777" w:rsidR="005F2530" w:rsidRDefault="005F2530" w:rsidP="00D2295E">
      <w:pPr>
        <w:rPr>
          <w:b/>
          <w:u w:val="single"/>
        </w:rPr>
      </w:pPr>
    </w:p>
    <w:p w14:paraId="61127868" w14:textId="3A874FAE" w:rsidR="00D2295E" w:rsidRPr="00124FA8" w:rsidRDefault="00D2295E" w:rsidP="00D2295E">
      <w:pPr>
        <w:rPr>
          <w:b/>
          <w:u w:val="single"/>
        </w:rPr>
      </w:pPr>
      <w:r w:rsidRPr="00124FA8">
        <w:rPr>
          <w:b/>
          <w:u w:val="single"/>
        </w:rPr>
        <w:t>Kelly Cronin, Deputy Administrator, Center for Innovation and Partnership, Administration for Community Living (ACL)</w:t>
      </w:r>
    </w:p>
    <w:p w14:paraId="1CA22705" w14:textId="77777777" w:rsidR="00D2295E" w:rsidRDefault="00D2295E" w:rsidP="00D2295E">
      <w:r>
        <w:t xml:space="preserve">Currently, there are many opportunities for aging and disability networks to partner </w:t>
      </w:r>
      <w:r w:rsidRPr="00E64A08">
        <w:t>with health systems</w:t>
      </w:r>
      <w:r>
        <w:t xml:space="preserve"> to support care transitions and COVID-19 emergency response. Recently, ACL organized a</w:t>
      </w:r>
      <w:r w:rsidRPr="00E64A08">
        <w:t xml:space="preserve"> webinar with the Aging and Disability Business Institute and N4A</w:t>
      </w:r>
      <w:r>
        <w:t xml:space="preserve"> on April 16, 2020, to provide </w:t>
      </w:r>
      <w:r w:rsidRPr="00E64A08">
        <w:t xml:space="preserve">an overview of the Medicare flexibilities </w:t>
      </w:r>
      <w:r>
        <w:t>currently</w:t>
      </w:r>
      <w:r w:rsidRPr="00E64A08">
        <w:t xml:space="preserve"> available</w:t>
      </w:r>
      <w:r>
        <w:t xml:space="preserve"> but primarily focusing on the telehealth expansions and flexibilities, as well as the Hospital without Walls Initiative.  Over </w:t>
      </w:r>
      <w:r w:rsidRPr="004F7AB7">
        <w:t>560 participants</w:t>
      </w:r>
      <w:r>
        <w:t xml:space="preserve"> attended the webinar.  The participants included over 150 triple AAAs, </w:t>
      </w:r>
      <w:r w:rsidRPr="004F7AB7">
        <w:t xml:space="preserve">over 40 </w:t>
      </w:r>
      <w:r>
        <w:t>CILs</w:t>
      </w:r>
      <w:r w:rsidRPr="004F7AB7">
        <w:t xml:space="preserve"> and </w:t>
      </w:r>
      <w:r>
        <w:t xml:space="preserve">around </w:t>
      </w:r>
      <w:r w:rsidRPr="004F7AB7">
        <w:t xml:space="preserve">90 </w:t>
      </w:r>
      <w:r>
        <w:t xml:space="preserve">other </w:t>
      </w:r>
      <w:r w:rsidRPr="004F7AB7">
        <w:t>CBOs</w:t>
      </w:r>
      <w:r>
        <w:t xml:space="preserve">. </w:t>
      </w:r>
    </w:p>
    <w:p w14:paraId="74C8D932" w14:textId="77777777" w:rsidR="00731E16" w:rsidRDefault="00D2295E" w:rsidP="00D2295E">
      <w:r>
        <w:t xml:space="preserve">To access </w:t>
      </w:r>
      <w:r w:rsidR="00731E16">
        <w:t>the webinar.  Please click here:</w:t>
      </w:r>
    </w:p>
    <w:p w14:paraId="388D3BE7" w14:textId="7490DF06" w:rsidR="00D2295E" w:rsidRDefault="00731E16" w:rsidP="00D2295E">
      <w:hyperlink r:id="rId11" w:history="1">
        <w:r w:rsidR="00D2295E" w:rsidRPr="00F23713">
          <w:rPr>
            <w:rStyle w:val="Hyperlink"/>
          </w:rPr>
          <w:t>https://www.aginganddisabilitybusinessinstitute.org/resources/hospital-without-walls-new-opportunities-for-cbos/</w:t>
        </w:r>
      </w:hyperlink>
    </w:p>
    <w:p w14:paraId="43FC6545" w14:textId="3A68777E" w:rsidR="00E97C9D" w:rsidRDefault="00B95990" w:rsidP="00C51674">
      <w:pPr>
        <w:pStyle w:val="Title"/>
      </w:pPr>
      <w:r>
        <w:t>FISCAL</w:t>
      </w:r>
    </w:p>
    <w:p w14:paraId="065E0EB6" w14:textId="77777777" w:rsidR="00C51674" w:rsidRPr="00C51674" w:rsidRDefault="00C51674" w:rsidP="00C51674"/>
    <w:p w14:paraId="07072C73" w14:textId="5FED8D94" w:rsidR="00D30CE0" w:rsidRPr="009A534A" w:rsidRDefault="00D30CE0" w:rsidP="00D30CE0">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Question</w:t>
      </w:r>
      <w:r>
        <w:rPr>
          <w:rFonts w:ascii="Century Gothic" w:eastAsiaTheme="majorEastAsia" w:hAnsi="Century Gothic" w:cstheme="majorBidi"/>
          <w:b/>
          <w:bCs/>
          <w:sz w:val="28"/>
          <w:szCs w:val="28"/>
        </w:rPr>
        <w:t>:</w:t>
      </w:r>
    </w:p>
    <w:p w14:paraId="0CD8F64C" w14:textId="57DF444A" w:rsidR="00304776" w:rsidRDefault="00304776" w:rsidP="00D30CE0">
      <w:pPr>
        <w:rPr>
          <w:rFonts w:ascii="Calibri" w:hAnsi="Calibri" w:cs="Calibri"/>
        </w:rPr>
      </w:pPr>
      <w:r w:rsidRPr="00D63CD9">
        <w:rPr>
          <w:rFonts w:ascii="Calibri" w:hAnsi="Calibri" w:cs="Calibri"/>
        </w:rPr>
        <w:t xml:space="preserve">What </w:t>
      </w:r>
      <w:r>
        <w:rPr>
          <w:rFonts w:ascii="Calibri" w:hAnsi="Calibri" w:cs="Calibri"/>
        </w:rPr>
        <w:t xml:space="preserve">are </w:t>
      </w:r>
      <w:r w:rsidRPr="00D63CD9">
        <w:rPr>
          <w:rFonts w:ascii="Calibri" w:hAnsi="Calibri" w:cs="Calibri"/>
        </w:rPr>
        <w:t>our options for match related to family caregiver COVID-19 supplemental funding?</w:t>
      </w:r>
    </w:p>
    <w:p w14:paraId="6034D729" w14:textId="3DC01456" w:rsidR="00D30CE0" w:rsidRDefault="00D30CE0" w:rsidP="00D30CE0">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Answer</w:t>
      </w:r>
      <w:r>
        <w:rPr>
          <w:rFonts w:ascii="Century Gothic" w:eastAsiaTheme="majorEastAsia" w:hAnsi="Century Gothic" w:cstheme="majorBidi"/>
          <w:b/>
          <w:bCs/>
          <w:sz w:val="28"/>
          <w:szCs w:val="28"/>
        </w:rPr>
        <w:t>:</w:t>
      </w:r>
    </w:p>
    <w:p w14:paraId="6BFE3E08" w14:textId="67B7BAE2" w:rsidR="00304776" w:rsidRPr="00DD1B43" w:rsidRDefault="00304776" w:rsidP="00304776">
      <w:pPr>
        <w:rPr>
          <w:rFonts w:ascii="Calibri" w:hAnsi="Calibri" w:cs="Calibri"/>
        </w:rPr>
      </w:pPr>
      <w:r w:rsidRPr="00D63CD9">
        <w:rPr>
          <w:rFonts w:ascii="Calibri" w:hAnsi="Calibri" w:cs="Calibri"/>
        </w:rPr>
        <w:t>There is no s</w:t>
      </w:r>
      <w:r>
        <w:rPr>
          <w:rFonts w:ascii="Calibri" w:hAnsi="Calibri" w:cs="Calibri"/>
        </w:rPr>
        <w:t>ervice match requirement for T</w:t>
      </w:r>
      <w:r w:rsidRPr="00D63CD9">
        <w:rPr>
          <w:rFonts w:ascii="Calibri" w:hAnsi="Calibri" w:cs="Calibri"/>
        </w:rPr>
        <w:t xml:space="preserve">itle III-E </w:t>
      </w:r>
      <w:r>
        <w:rPr>
          <w:rFonts w:ascii="Calibri" w:hAnsi="Calibri" w:cs="Calibri"/>
        </w:rPr>
        <w:t>CARES Act</w:t>
      </w:r>
      <w:r w:rsidRPr="00D63CD9">
        <w:rPr>
          <w:rFonts w:ascii="Calibri" w:hAnsi="Calibri" w:cs="Calibri"/>
        </w:rPr>
        <w:t xml:space="preserve"> fund</w:t>
      </w:r>
      <w:r>
        <w:rPr>
          <w:rFonts w:ascii="Calibri" w:hAnsi="Calibri" w:cs="Calibri"/>
        </w:rPr>
        <w:t>s</w:t>
      </w:r>
      <w:r w:rsidRPr="00D63CD9">
        <w:rPr>
          <w:rFonts w:ascii="Calibri" w:hAnsi="Calibri" w:cs="Calibri"/>
        </w:rPr>
        <w:t>.</w:t>
      </w:r>
      <w:r w:rsidR="007953FB" w:rsidRPr="007953FB">
        <w:t xml:space="preserve"> </w:t>
      </w:r>
      <w:r w:rsidR="007953FB">
        <w:t>However, if taken, State Plan and Area Plan administration match is required at the normal 25% match rate.</w:t>
      </w:r>
    </w:p>
    <w:p w14:paraId="54A8B611" w14:textId="0A2ABC63" w:rsidR="00D30CE0" w:rsidRPr="002A45F2" w:rsidRDefault="00D30CE0" w:rsidP="00D30CE0">
      <w:pPr>
        <w:rPr>
          <w:rFonts w:ascii="Calibri" w:hAnsi="Calibri" w:cs="Calibri"/>
        </w:rPr>
      </w:pPr>
      <w:r w:rsidRPr="00676983">
        <w:rPr>
          <w:rFonts w:ascii="Century Gothic" w:eastAsiaTheme="majorEastAsia" w:hAnsi="Century Gothic" w:cstheme="majorBidi"/>
          <w:b/>
          <w:bCs/>
          <w:sz w:val="28"/>
          <w:szCs w:val="28"/>
        </w:rPr>
        <w:t>Question</w:t>
      </w:r>
      <w:r>
        <w:rPr>
          <w:rFonts w:ascii="Century Gothic" w:eastAsiaTheme="majorEastAsia" w:hAnsi="Century Gothic" w:cstheme="majorBidi"/>
          <w:b/>
          <w:bCs/>
          <w:sz w:val="28"/>
          <w:szCs w:val="28"/>
        </w:rPr>
        <w:t>:</w:t>
      </w:r>
    </w:p>
    <w:p w14:paraId="1B46123A" w14:textId="593ECAD8" w:rsidR="00304776" w:rsidRPr="00304776" w:rsidRDefault="00304776" w:rsidP="00304776">
      <w:r w:rsidRPr="00304776">
        <w:t xml:space="preserve">Which </w:t>
      </w:r>
      <w:r>
        <w:t xml:space="preserve">supplemental COVID-19 </w:t>
      </w:r>
      <w:r w:rsidRPr="00304776">
        <w:t>funds</w:t>
      </w:r>
      <w:r>
        <w:t xml:space="preserve"> should states </w:t>
      </w:r>
      <w:r w:rsidRPr="00304776">
        <w:t>spend first</w:t>
      </w:r>
      <w:r>
        <w:t>?</w:t>
      </w:r>
    </w:p>
    <w:p w14:paraId="08E38789" w14:textId="31C4EE8A" w:rsidR="00D30CE0" w:rsidRDefault="00D30CE0" w:rsidP="00D30CE0">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Answer</w:t>
      </w:r>
      <w:r>
        <w:rPr>
          <w:rFonts w:ascii="Century Gothic" w:eastAsiaTheme="majorEastAsia" w:hAnsi="Century Gothic" w:cstheme="majorBidi"/>
          <w:b/>
          <w:bCs/>
          <w:sz w:val="28"/>
          <w:szCs w:val="28"/>
        </w:rPr>
        <w:t>:</w:t>
      </w:r>
    </w:p>
    <w:p w14:paraId="0F3D748B" w14:textId="095B9ABE" w:rsidR="007953FB" w:rsidRDefault="007953FB" w:rsidP="007953FB">
      <w:r>
        <w:t>Because FFCRA &amp; CARES Act funding is specifically appropriated for COVID-19 response, ACL encourages the use of funding in the following order:</w:t>
      </w:r>
    </w:p>
    <w:p w14:paraId="43ACB244" w14:textId="77777777" w:rsidR="007953FB" w:rsidRDefault="007953FB" w:rsidP="007953FB">
      <w:pPr>
        <w:pStyle w:val="ListParagraph"/>
        <w:numPr>
          <w:ilvl w:val="0"/>
          <w:numId w:val="40"/>
        </w:numPr>
        <w:tabs>
          <w:tab w:val="left" w:pos="720"/>
        </w:tabs>
      </w:pPr>
      <w:r>
        <w:t xml:space="preserve">Families First Coronavirus Response Act (FFCRA) funding; </w:t>
      </w:r>
    </w:p>
    <w:p w14:paraId="533FB644" w14:textId="77777777" w:rsidR="007953FB" w:rsidRDefault="007953FB" w:rsidP="007953FB">
      <w:pPr>
        <w:pStyle w:val="ListParagraph"/>
        <w:numPr>
          <w:ilvl w:val="0"/>
          <w:numId w:val="40"/>
        </w:numPr>
        <w:tabs>
          <w:tab w:val="left" w:pos="720"/>
        </w:tabs>
      </w:pPr>
      <w:r>
        <w:t>CARES Act funding;</w:t>
      </w:r>
    </w:p>
    <w:p w14:paraId="4E402731" w14:textId="0EF0BF70" w:rsidR="007953FB" w:rsidRDefault="007953FB" w:rsidP="007953FB">
      <w:pPr>
        <w:pStyle w:val="ListParagraph"/>
        <w:numPr>
          <w:ilvl w:val="0"/>
          <w:numId w:val="40"/>
        </w:numPr>
        <w:tabs>
          <w:tab w:val="left" w:pos="720"/>
        </w:tabs>
      </w:pPr>
      <w:r>
        <w:t xml:space="preserve">“Regular” OAA Title III </w:t>
      </w:r>
      <w:r w:rsidR="005D0FFE">
        <w:t xml:space="preserve">and Title VII </w:t>
      </w:r>
      <w:r>
        <w:t>grant funds, starting with the oldest funds available first;</w:t>
      </w:r>
    </w:p>
    <w:p w14:paraId="0E2C7080" w14:textId="77777777" w:rsidR="007953FB" w:rsidRDefault="007953FB" w:rsidP="007953FB">
      <w:pPr>
        <w:pStyle w:val="ListParagraph"/>
        <w:numPr>
          <w:ilvl w:val="1"/>
          <w:numId w:val="40"/>
        </w:numPr>
        <w:tabs>
          <w:tab w:val="left" w:pos="720"/>
        </w:tabs>
      </w:pPr>
      <w:r>
        <w:t>FFY 2018</w:t>
      </w:r>
    </w:p>
    <w:p w14:paraId="59E48EFA" w14:textId="77777777" w:rsidR="007953FB" w:rsidRDefault="007953FB" w:rsidP="007953FB">
      <w:pPr>
        <w:pStyle w:val="ListParagraph"/>
        <w:numPr>
          <w:ilvl w:val="1"/>
          <w:numId w:val="40"/>
        </w:numPr>
        <w:tabs>
          <w:tab w:val="left" w:pos="720"/>
        </w:tabs>
      </w:pPr>
      <w:r>
        <w:t>FFY 2019</w:t>
      </w:r>
    </w:p>
    <w:p w14:paraId="304DFAAB" w14:textId="77777777" w:rsidR="007953FB" w:rsidRDefault="007953FB" w:rsidP="007953FB">
      <w:pPr>
        <w:pStyle w:val="ListParagraph"/>
        <w:numPr>
          <w:ilvl w:val="1"/>
          <w:numId w:val="40"/>
        </w:numPr>
        <w:tabs>
          <w:tab w:val="left" w:pos="720"/>
        </w:tabs>
      </w:pPr>
      <w:r>
        <w:t>FFY 2020</w:t>
      </w:r>
    </w:p>
    <w:p w14:paraId="2D8F7FBD" w14:textId="4AB84322" w:rsidR="007953FB" w:rsidRDefault="00304776" w:rsidP="007953FB">
      <w:r w:rsidRPr="00304776">
        <w:lastRenderedPageBreak/>
        <w:t xml:space="preserve"> </w:t>
      </w:r>
      <w:r w:rsidR="00F25483">
        <w:t xml:space="preserve"> </w:t>
      </w:r>
    </w:p>
    <w:p w14:paraId="4B40933E" w14:textId="4DC51629" w:rsidR="007953FB" w:rsidRDefault="007953FB" w:rsidP="007953FB">
      <w:r>
        <w:t xml:space="preserve">All SUAs have been provided a no-cost-extension for the FFY 2019 Title III, Title VII, and NSIP grants.  The project period end dates have been extended to September 30, 2021 with final reporting due December 30, 2021.  A new Notice of Award (NOA) will be provided to SUAs </w:t>
      </w:r>
      <w:r w:rsidR="00866ECE">
        <w:t>that</w:t>
      </w:r>
      <w:r>
        <w:t xml:space="preserve"> have not fully expended their grants in the July 2020 timeframe with the updated project period end date.  SUAs </w:t>
      </w:r>
      <w:r w:rsidR="00866ECE">
        <w:t>that</w:t>
      </w:r>
      <w:r>
        <w:t xml:space="preserve"> receive the no-cost-extensions will be required to submit semi-annual reports until a final report is submitted. </w:t>
      </w:r>
    </w:p>
    <w:p w14:paraId="3A910B08" w14:textId="39EEA020" w:rsidR="00C86DB8" w:rsidRDefault="007953FB" w:rsidP="00C51674">
      <w:r>
        <w:t>All SUAs that have FFY2018 Title III, Title VII, and NSIP grants will be provided a liquidation extension for an additional year to December 30, 2021.  Please note funds must have been obligated by September 30, 2018 to be available for expenditure and liquidation.  A new NOA will not be provided with this updated liquidation period, however late requests for liquidation will be approved.  Final liquidations and SF425 report are due December 30, 2021.</w:t>
      </w:r>
    </w:p>
    <w:p w14:paraId="55A9FF84" w14:textId="543A4D52" w:rsidR="00C0554A" w:rsidRPr="00C0554A" w:rsidRDefault="00C0554A" w:rsidP="00C51674">
      <w:pPr>
        <w:pStyle w:val="Title"/>
      </w:pPr>
      <w:r>
        <w:t>OAA Title VII</w:t>
      </w:r>
    </w:p>
    <w:p w14:paraId="24B6E9A6" w14:textId="4B41747E" w:rsidR="009E7853" w:rsidRPr="008903BF" w:rsidRDefault="009E7853" w:rsidP="009E785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Question</w:t>
      </w:r>
      <w:r>
        <w:rPr>
          <w:rFonts w:ascii="Century Gothic" w:eastAsiaTheme="majorEastAsia" w:hAnsi="Century Gothic" w:cstheme="majorBidi"/>
          <w:b/>
          <w:bCs/>
          <w:sz w:val="28"/>
          <w:szCs w:val="28"/>
        </w:rPr>
        <w:t>:</w:t>
      </w:r>
    </w:p>
    <w:p w14:paraId="363CB6E7" w14:textId="74D6BF6F" w:rsidR="00C0554A" w:rsidRPr="004A601D" w:rsidRDefault="00C0554A" w:rsidP="00C0554A">
      <w:pPr>
        <w:spacing w:after="0"/>
        <w:rPr>
          <w:rFonts w:cstheme="minorHAnsi"/>
        </w:rPr>
      </w:pPr>
      <w:r w:rsidRPr="004A601D">
        <w:rPr>
          <w:rFonts w:cstheme="minorHAnsi"/>
        </w:rPr>
        <w:t>C</w:t>
      </w:r>
      <w:r w:rsidR="00DD1B43">
        <w:rPr>
          <w:rFonts w:cstheme="minorHAnsi"/>
        </w:rPr>
        <w:t xml:space="preserve">an the state Ombudsman Program </w:t>
      </w:r>
      <w:r w:rsidR="00255F9A">
        <w:rPr>
          <w:rFonts w:cstheme="minorHAnsi"/>
        </w:rPr>
        <w:t xml:space="preserve">use </w:t>
      </w:r>
      <w:r w:rsidR="00255F9A" w:rsidRPr="004A601D">
        <w:rPr>
          <w:rFonts w:cstheme="minorHAnsi"/>
        </w:rPr>
        <w:t xml:space="preserve">CARES funding </w:t>
      </w:r>
      <w:r w:rsidRPr="004A601D">
        <w:rPr>
          <w:rFonts w:cstheme="minorHAnsi"/>
        </w:rPr>
        <w:t>or is it all intended to go out to the AAAs?</w:t>
      </w:r>
    </w:p>
    <w:p w14:paraId="1DF22C47" w14:textId="3D5AB07C" w:rsidR="00C0554A" w:rsidRPr="00C0554A" w:rsidRDefault="00C0554A" w:rsidP="00C0554A">
      <w:pPr>
        <w:spacing w:after="0"/>
        <w:rPr>
          <w:rFonts w:ascii="Arial" w:hAnsi="Arial"/>
        </w:rPr>
      </w:pPr>
    </w:p>
    <w:p w14:paraId="406D6085" w14:textId="4839E479" w:rsidR="009E7853" w:rsidRPr="008903BF" w:rsidRDefault="009E7853" w:rsidP="009E785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Answer</w:t>
      </w:r>
      <w:r>
        <w:rPr>
          <w:rFonts w:ascii="Century Gothic" w:eastAsiaTheme="majorEastAsia" w:hAnsi="Century Gothic" w:cstheme="majorBidi"/>
          <w:b/>
          <w:bCs/>
          <w:sz w:val="28"/>
          <w:szCs w:val="28"/>
        </w:rPr>
        <w:t>:</w:t>
      </w:r>
    </w:p>
    <w:p w14:paraId="7795EFC8" w14:textId="5B3F2225" w:rsidR="00C0554A" w:rsidRPr="005D0FFE" w:rsidRDefault="00C0554A" w:rsidP="009374A3">
      <w:pPr>
        <w:numPr>
          <w:ilvl w:val="0"/>
          <w:numId w:val="41"/>
        </w:numPr>
        <w:spacing w:after="0"/>
        <w:rPr>
          <w:rFonts w:cstheme="minorHAnsi"/>
        </w:rPr>
      </w:pPr>
      <w:r w:rsidRPr="005D0FFE">
        <w:rPr>
          <w:rFonts w:cstheme="minorHAnsi"/>
        </w:rPr>
        <w:t>Yes</w:t>
      </w:r>
      <w:r w:rsidR="005D0FFE" w:rsidRPr="005D0FFE">
        <w:rPr>
          <w:rFonts w:cstheme="minorHAnsi"/>
        </w:rPr>
        <w:t>, the state Ombudsman determine</w:t>
      </w:r>
      <w:r w:rsidR="005D0FFE">
        <w:rPr>
          <w:rFonts w:cstheme="minorHAnsi"/>
        </w:rPr>
        <w:t>s</w:t>
      </w:r>
      <w:r w:rsidR="005D0FFE" w:rsidRPr="005D0FFE">
        <w:rPr>
          <w:rFonts w:cstheme="minorHAnsi"/>
        </w:rPr>
        <w:t xml:space="preserve"> the use of </w:t>
      </w:r>
      <w:r w:rsidR="005D0FFE" w:rsidRPr="005D0FFE">
        <w:rPr>
          <w:rFonts w:cstheme="minorHAnsi"/>
          <w:u w:val="single"/>
        </w:rPr>
        <w:t xml:space="preserve">the fiscal resources </w:t>
      </w:r>
      <w:r w:rsidR="005D0FFE" w:rsidRPr="009374A3">
        <w:rPr>
          <w:rFonts w:cstheme="minorHAnsi"/>
          <w:bCs/>
        </w:rPr>
        <w:t>appropriated or otherwise available for the operation of the Office, including the CARES Act funds</w:t>
      </w:r>
      <w:r w:rsidR="005D0FFE" w:rsidRPr="005D0FFE">
        <w:rPr>
          <w:rFonts w:cstheme="minorHAnsi"/>
          <w:b/>
          <w:bCs/>
          <w:u w:val="single"/>
        </w:rPr>
        <w:t xml:space="preserve">. </w:t>
      </w:r>
      <w:r w:rsidR="005D0FFE" w:rsidRPr="005D0FFE">
        <w:rPr>
          <w:rFonts w:cstheme="minorHAnsi"/>
        </w:rPr>
        <w:t xml:space="preserve"> </w:t>
      </w:r>
      <w:r w:rsidRPr="005D0FFE">
        <w:rPr>
          <w:rFonts w:cstheme="minorHAnsi"/>
        </w:rPr>
        <w:t xml:space="preserve">. ACL encourages </w:t>
      </w:r>
      <w:r w:rsidR="005D0FFE">
        <w:rPr>
          <w:rFonts w:cstheme="minorHAnsi"/>
        </w:rPr>
        <w:t xml:space="preserve">SUA Directors to work with their </w:t>
      </w:r>
      <w:r w:rsidRPr="005D0FFE">
        <w:rPr>
          <w:rFonts w:cstheme="minorHAnsi"/>
        </w:rPr>
        <w:t xml:space="preserve">state </w:t>
      </w:r>
      <w:r w:rsidR="005D0FFE">
        <w:rPr>
          <w:rFonts w:cstheme="minorHAnsi"/>
        </w:rPr>
        <w:t>O</w:t>
      </w:r>
      <w:r w:rsidRPr="005D0FFE">
        <w:rPr>
          <w:rFonts w:cstheme="minorHAnsi"/>
        </w:rPr>
        <w:t xml:space="preserve">mbudsman </w:t>
      </w:r>
      <w:r w:rsidR="005D0FFE">
        <w:rPr>
          <w:rFonts w:cstheme="minorHAnsi"/>
        </w:rPr>
        <w:t xml:space="preserve"> to determine the needs at the state Office, such as, bulk purchasing of equipment, statewide training needs, etc. and the allocation of these funds to the local Ombudsman entities, such as AAA’s. </w:t>
      </w:r>
      <w:r w:rsidRPr="005D0FFE">
        <w:rPr>
          <w:rFonts w:cstheme="minorHAnsi"/>
        </w:rPr>
        <w:t xml:space="preserve"> </w:t>
      </w:r>
      <w:r w:rsidR="00477C28" w:rsidRPr="005D0FFE">
        <w:rPr>
          <w:rFonts w:cstheme="minorHAnsi"/>
        </w:rPr>
        <w:t xml:space="preserve">See previous </w:t>
      </w:r>
      <w:hyperlink r:id="rId12" w:history="1">
        <w:r w:rsidR="00477C28" w:rsidRPr="005D0FFE">
          <w:rPr>
            <w:rStyle w:val="Hyperlink"/>
            <w:rFonts w:cstheme="minorHAnsi"/>
          </w:rPr>
          <w:t>State Long Term Care Ombudsman FAQ</w:t>
        </w:r>
      </w:hyperlink>
      <w:r w:rsidR="00477C28" w:rsidRPr="005D0FFE">
        <w:rPr>
          <w:rFonts w:cstheme="minorHAnsi"/>
        </w:rPr>
        <w:t xml:space="preserve"> for additional information.</w:t>
      </w:r>
      <w:r w:rsidRPr="005D0FFE">
        <w:rPr>
          <w:rFonts w:cstheme="minorHAnsi"/>
        </w:rPr>
        <w:t xml:space="preserve">  </w:t>
      </w:r>
    </w:p>
    <w:p w14:paraId="431CCDD6" w14:textId="43116E52" w:rsidR="00D63CD9" w:rsidRDefault="00D63CD9" w:rsidP="00C0554A">
      <w:pPr>
        <w:spacing w:after="0"/>
        <w:rPr>
          <w:rFonts w:cstheme="minorHAnsi"/>
        </w:rPr>
      </w:pPr>
    </w:p>
    <w:p w14:paraId="33A3AD47" w14:textId="5BDA990C" w:rsidR="00D63CD9" w:rsidRPr="00D63CD9" w:rsidRDefault="00D63CD9" w:rsidP="00D63CD9">
      <w:pPr>
        <w:rPr>
          <w:rFonts w:ascii="Century Gothic" w:eastAsiaTheme="majorEastAsia" w:hAnsi="Century Gothic" w:cstheme="majorBidi"/>
          <w:b/>
          <w:bCs/>
          <w:sz w:val="28"/>
          <w:szCs w:val="28"/>
        </w:rPr>
      </w:pPr>
      <w:r w:rsidRPr="00D63CD9">
        <w:rPr>
          <w:rFonts w:ascii="Century Gothic" w:eastAsiaTheme="majorEastAsia" w:hAnsi="Century Gothic" w:cstheme="majorBidi"/>
          <w:b/>
          <w:bCs/>
          <w:sz w:val="28"/>
          <w:szCs w:val="28"/>
        </w:rPr>
        <w:t>Question:</w:t>
      </w:r>
    </w:p>
    <w:p w14:paraId="293B5237" w14:textId="320BA63A" w:rsidR="00D63CD9" w:rsidRPr="00D63CD9" w:rsidRDefault="00D63CD9" w:rsidP="00D63CD9">
      <w:pPr>
        <w:spacing w:after="0"/>
        <w:rPr>
          <w:rFonts w:cstheme="minorHAnsi"/>
        </w:rPr>
      </w:pPr>
      <w:r w:rsidRPr="00D63CD9">
        <w:rPr>
          <w:rFonts w:cstheme="minorHAnsi"/>
        </w:rPr>
        <w:t>Since the COVID</w:t>
      </w:r>
      <w:r w:rsidR="00255F9A">
        <w:rPr>
          <w:rFonts w:cstheme="minorHAnsi"/>
        </w:rPr>
        <w:t>-19</w:t>
      </w:r>
      <w:r w:rsidRPr="00D63CD9">
        <w:rPr>
          <w:rFonts w:cstheme="minorHAnsi"/>
        </w:rPr>
        <w:t xml:space="preserve"> relief funds are being used for a number of different services. Is there going to be any relaxing of th</w:t>
      </w:r>
      <w:r w:rsidR="004A601D">
        <w:rPr>
          <w:rFonts w:cstheme="minorHAnsi"/>
        </w:rPr>
        <w:t>e</w:t>
      </w:r>
      <w:r w:rsidR="00247FC2">
        <w:rPr>
          <w:rFonts w:cstheme="minorHAnsi"/>
        </w:rPr>
        <w:t xml:space="preserve"> Certification of Long Term Care Ombudsman Program Expenditures </w:t>
      </w:r>
      <w:r w:rsidR="00255F9A">
        <w:rPr>
          <w:rFonts w:cstheme="minorHAnsi"/>
        </w:rPr>
        <w:t xml:space="preserve">for </w:t>
      </w:r>
      <w:r w:rsidRPr="00D63CD9">
        <w:rPr>
          <w:rFonts w:cstheme="minorHAnsi"/>
        </w:rPr>
        <w:t>next year?</w:t>
      </w:r>
    </w:p>
    <w:p w14:paraId="63CDBE27" w14:textId="77777777" w:rsidR="00D63CD9" w:rsidRDefault="00D63CD9" w:rsidP="00D63CD9">
      <w:pPr>
        <w:spacing w:after="0"/>
      </w:pPr>
    </w:p>
    <w:p w14:paraId="6704C485" w14:textId="77777777" w:rsidR="00D63CD9" w:rsidRPr="00D63CD9" w:rsidRDefault="00D63CD9" w:rsidP="00D63CD9">
      <w:pPr>
        <w:rPr>
          <w:rFonts w:ascii="Century Gothic" w:eastAsiaTheme="majorEastAsia" w:hAnsi="Century Gothic" w:cstheme="majorBidi"/>
          <w:b/>
          <w:bCs/>
          <w:sz w:val="28"/>
          <w:szCs w:val="28"/>
        </w:rPr>
      </w:pPr>
      <w:r w:rsidRPr="00D63CD9">
        <w:rPr>
          <w:rFonts w:ascii="Century Gothic" w:eastAsiaTheme="majorEastAsia" w:hAnsi="Century Gothic" w:cstheme="majorBidi"/>
          <w:b/>
          <w:bCs/>
          <w:sz w:val="28"/>
          <w:szCs w:val="28"/>
        </w:rPr>
        <w:t>Answer:</w:t>
      </w:r>
    </w:p>
    <w:p w14:paraId="0EC228FE" w14:textId="184D4EB9" w:rsidR="00D63CD9" w:rsidRPr="00C0554A" w:rsidRDefault="006C320B" w:rsidP="00C0554A">
      <w:pPr>
        <w:spacing w:after="0"/>
        <w:rPr>
          <w:rFonts w:cstheme="minorHAnsi"/>
        </w:rPr>
      </w:pPr>
      <w:r>
        <w:rPr>
          <w:rFonts w:cstheme="minorHAnsi"/>
        </w:rPr>
        <w:t>The Older Americans Act Reauthorization of 2020 updated the minimum expenditure requirements</w:t>
      </w:r>
      <w:r w:rsidR="007953FB">
        <w:rPr>
          <w:rFonts w:cstheme="minorHAnsi"/>
        </w:rPr>
        <w:t xml:space="preserve"> for the Long Term Care Ombudsman Program to </w:t>
      </w:r>
      <w:r>
        <w:rPr>
          <w:rFonts w:cstheme="minorHAnsi"/>
        </w:rPr>
        <w:t xml:space="preserve">the total amount of funds expended under the Older Americans Act in fiscal year </w:t>
      </w:r>
      <w:r w:rsidR="007953FB">
        <w:rPr>
          <w:rFonts w:cstheme="minorHAnsi"/>
        </w:rPr>
        <w:t>2019.  FFY</w:t>
      </w:r>
      <w:r>
        <w:rPr>
          <w:rFonts w:cstheme="minorHAnsi"/>
        </w:rPr>
        <w:t xml:space="preserve"> </w:t>
      </w:r>
      <w:r w:rsidR="007953FB">
        <w:rPr>
          <w:rFonts w:cstheme="minorHAnsi"/>
        </w:rPr>
        <w:t xml:space="preserve">2020 </w:t>
      </w:r>
      <w:r>
        <w:rPr>
          <w:rFonts w:cstheme="minorHAnsi"/>
        </w:rPr>
        <w:t xml:space="preserve">minimum expenditure requirements for </w:t>
      </w:r>
      <w:r w:rsidR="007953FB">
        <w:rPr>
          <w:rFonts w:cstheme="minorHAnsi"/>
        </w:rPr>
        <w:t>the Long Term Care Ombudsman Program must meet</w:t>
      </w:r>
      <w:r w:rsidR="00247FC2">
        <w:rPr>
          <w:rFonts w:cstheme="minorHAnsi"/>
        </w:rPr>
        <w:t xml:space="preserve"> or exceed</w:t>
      </w:r>
      <w:r w:rsidR="007953FB">
        <w:rPr>
          <w:rFonts w:cstheme="minorHAnsi"/>
        </w:rPr>
        <w:t xml:space="preserve"> the </w:t>
      </w:r>
      <w:r>
        <w:rPr>
          <w:rFonts w:cstheme="minorHAnsi"/>
        </w:rPr>
        <w:t xml:space="preserve">FFY </w:t>
      </w:r>
      <w:r w:rsidR="007953FB">
        <w:rPr>
          <w:rFonts w:cstheme="minorHAnsi"/>
        </w:rPr>
        <w:t xml:space="preserve">2019 expenditure levels.  </w:t>
      </w:r>
      <w:r w:rsidR="00255F9A">
        <w:rPr>
          <w:rFonts w:cstheme="minorHAnsi"/>
        </w:rPr>
        <w:t xml:space="preserve">ACL is available </w:t>
      </w:r>
      <w:r w:rsidR="00DD1B43">
        <w:rPr>
          <w:rFonts w:cstheme="minorHAnsi"/>
        </w:rPr>
        <w:t>for additional technical assistance</w:t>
      </w:r>
      <w:r w:rsidR="00DD1B43">
        <w:rPr>
          <w:rFonts w:cstheme="minorHAnsi"/>
        </w:rPr>
        <w:tab/>
      </w:r>
      <w:r w:rsidR="00880EA5">
        <w:rPr>
          <w:rFonts w:cstheme="minorHAnsi"/>
        </w:rPr>
        <w:t xml:space="preserve"> in this area if needed.</w:t>
      </w:r>
    </w:p>
    <w:p w14:paraId="00972084" w14:textId="77777777" w:rsidR="00D2295E" w:rsidRDefault="00D2295E">
      <w:pPr>
        <w:rPr>
          <w:rFonts w:ascii="Century Gothic" w:eastAsiaTheme="majorEastAsia" w:hAnsi="Century Gothic" w:cstheme="majorBidi"/>
          <w:caps/>
          <w:color w:val="2B2B2B" w:themeColor="text2"/>
          <w:sz w:val="44"/>
          <w:szCs w:val="44"/>
        </w:rPr>
      </w:pPr>
      <w:r>
        <w:br w:type="page"/>
      </w:r>
    </w:p>
    <w:p w14:paraId="29D27ECD" w14:textId="6DB2D4B5" w:rsidR="00C0554A" w:rsidRDefault="00E97C9D" w:rsidP="004A601D">
      <w:pPr>
        <w:pStyle w:val="Title"/>
      </w:pPr>
      <w:r>
        <w:lastRenderedPageBreak/>
        <w:t>strategic planning</w:t>
      </w:r>
    </w:p>
    <w:p w14:paraId="367DFE4C" w14:textId="77777777" w:rsidR="004A601D" w:rsidRPr="004A601D" w:rsidRDefault="004A601D" w:rsidP="004A601D"/>
    <w:p w14:paraId="5BB73B6C" w14:textId="244C9A91" w:rsidR="009A452C" w:rsidRPr="008903BF" w:rsidRDefault="009A452C" w:rsidP="009A452C">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Question</w:t>
      </w:r>
      <w:r>
        <w:rPr>
          <w:rFonts w:ascii="Century Gothic" w:eastAsiaTheme="majorEastAsia" w:hAnsi="Century Gothic" w:cstheme="majorBidi"/>
          <w:b/>
          <w:bCs/>
          <w:sz w:val="28"/>
          <w:szCs w:val="28"/>
        </w:rPr>
        <w:t>:</w:t>
      </w:r>
    </w:p>
    <w:p w14:paraId="3E6CC615" w14:textId="22AADB38" w:rsidR="00392EAE" w:rsidRPr="004A601D" w:rsidRDefault="00392EAE" w:rsidP="00392EAE">
      <w:pPr>
        <w:spacing w:after="0"/>
        <w:rPr>
          <w:rFonts w:cstheme="minorHAnsi"/>
        </w:rPr>
      </w:pPr>
      <w:r w:rsidRPr="004A601D">
        <w:rPr>
          <w:rFonts w:cstheme="minorHAnsi"/>
        </w:rPr>
        <w:t>Does ACL have guidance or guidelines that it can provide to SUA Directors about how they can provide good information to their governo</w:t>
      </w:r>
      <w:r w:rsidR="00F25483" w:rsidRPr="004A601D">
        <w:rPr>
          <w:rFonts w:cstheme="minorHAnsi"/>
        </w:rPr>
        <w:t>r</w:t>
      </w:r>
      <w:r w:rsidRPr="004A601D">
        <w:rPr>
          <w:rFonts w:cstheme="minorHAnsi"/>
        </w:rPr>
        <w:t>s</w:t>
      </w:r>
      <w:r w:rsidR="00F25483" w:rsidRPr="004A601D">
        <w:rPr>
          <w:rFonts w:cstheme="minorHAnsi"/>
        </w:rPr>
        <w:t>’</w:t>
      </w:r>
      <w:r w:rsidRPr="004A601D">
        <w:rPr>
          <w:rFonts w:cstheme="minorHAnsi"/>
        </w:rPr>
        <w:t xml:space="preserve"> offices about </w:t>
      </w:r>
      <w:r w:rsidR="00F25483" w:rsidRPr="004A601D">
        <w:rPr>
          <w:rFonts w:cstheme="minorHAnsi"/>
        </w:rPr>
        <w:t>reopening</w:t>
      </w:r>
      <w:r w:rsidRPr="004A601D">
        <w:rPr>
          <w:rFonts w:cstheme="minorHAnsi"/>
        </w:rPr>
        <w:t xml:space="preserve"> in a phased in approach?</w:t>
      </w:r>
    </w:p>
    <w:p w14:paraId="48878BBD" w14:textId="77777777" w:rsidR="00392EAE" w:rsidRPr="00392EAE" w:rsidRDefault="00392EAE" w:rsidP="00392EAE">
      <w:pPr>
        <w:spacing w:after="0"/>
        <w:rPr>
          <w:rFonts w:ascii="Arial" w:hAnsi="Arial"/>
        </w:rPr>
      </w:pPr>
    </w:p>
    <w:p w14:paraId="73D5BEA1" w14:textId="743F60AD" w:rsidR="009A452C" w:rsidRPr="00CC5F35" w:rsidRDefault="009A452C" w:rsidP="009A452C">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Answer</w:t>
      </w:r>
      <w:r>
        <w:rPr>
          <w:rFonts w:ascii="Century Gothic" w:eastAsiaTheme="majorEastAsia" w:hAnsi="Century Gothic" w:cstheme="majorBidi"/>
          <w:b/>
          <w:bCs/>
          <w:sz w:val="28"/>
          <w:szCs w:val="28"/>
        </w:rPr>
        <w:t>:</w:t>
      </w:r>
    </w:p>
    <w:p w14:paraId="77C3E1E1" w14:textId="5EAF61FB" w:rsidR="00866ECE" w:rsidRDefault="00866ECE" w:rsidP="00676DEE">
      <w:r>
        <w:t>ACL is working on guidance about reopening based on the administration’s phased approach.  We will make it available as soon as it is finalized.</w:t>
      </w:r>
    </w:p>
    <w:p w14:paraId="2BF90E4A" w14:textId="612497B3" w:rsidR="00D85188" w:rsidRPr="002C24B9" w:rsidRDefault="00D85188" w:rsidP="00676983">
      <w:pPr>
        <w:rPr>
          <w:rFonts w:ascii="Calibri" w:eastAsia="Times New Roman" w:hAnsi="Calibri" w:cs="Times New Roman"/>
          <w:color w:val="691B1D" w:themeColor="accent1" w:themeShade="BF"/>
        </w:rPr>
      </w:pPr>
    </w:p>
    <w:sectPr w:rsidR="00D85188" w:rsidRPr="002C24B9" w:rsidSect="00C578F6">
      <w:headerReference w:type="default" r:id="rId13"/>
      <w:footerReference w:type="default" r:id="rId14"/>
      <w:headerReference w:type="first" r:id="rId15"/>
      <w:footerReference w:type="first" r:id="rId16"/>
      <w:pgSz w:w="12240" w:h="15840"/>
      <w:pgMar w:top="127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511C4" w14:textId="77777777" w:rsidR="005D33B2" w:rsidRDefault="005D33B2" w:rsidP="00944993">
      <w:pPr>
        <w:spacing w:after="0" w:line="240" w:lineRule="auto"/>
      </w:pPr>
      <w:r>
        <w:separator/>
      </w:r>
    </w:p>
  </w:endnote>
  <w:endnote w:type="continuationSeparator" w:id="0">
    <w:p w14:paraId="52E91EF5" w14:textId="77777777" w:rsidR="005D33B2" w:rsidRDefault="005D33B2" w:rsidP="0094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07D30" w14:textId="1917E93A" w:rsidR="00944993" w:rsidRDefault="00944993" w:rsidP="00CF0395">
    <w:pPr>
      <w:pStyle w:val="Footer"/>
      <w:ind w:hanging="720"/>
    </w:pPr>
    <w:r>
      <w:rPr>
        <w:noProof/>
      </w:rPr>
      <w:drawing>
        <wp:anchor distT="0" distB="0" distL="114300" distR="114300" simplePos="0" relativeHeight="251656704" behindDoc="1" locked="0" layoutInCell="1" allowOverlap="1" wp14:anchorId="455B160F" wp14:editId="4D33EABF">
          <wp:simplePos x="0" y="0"/>
          <wp:positionH relativeFrom="column">
            <wp:posOffset>-457200</wp:posOffset>
          </wp:positionH>
          <wp:positionV relativeFrom="paragraph">
            <wp:posOffset>-2362835</wp:posOffset>
          </wp:positionV>
          <wp:extent cx="7771440" cy="2532380"/>
          <wp:effectExtent l="0" t="0" r="1270" b="1270"/>
          <wp:wrapNone/>
          <wp:docPr id="258" name="Picture 25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5B60" w14:textId="262A1FC3" w:rsidR="003364C4" w:rsidRDefault="003364C4">
    <w:pPr>
      <w:pStyle w:val="Footer"/>
    </w:pPr>
    <w:r>
      <w:rPr>
        <w:noProof/>
      </w:rPr>
      <w:drawing>
        <wp:anchor distT="0" distB="0" distL="114300" distR="114300" simplePos="0" relativeHeight="251657728" behindDoc="1" locked="0" layoutInCell="1" allowOverlap="1" wp14:anchorId="39113948" wp14:editId="32B53FCA">
          <wp:simplePos x="0" y="0"/>
          <wp:positionH relativeFrom="column">
            <wp:posOffset>-457200</wp:posOffset>
          </wp:positionH>
          <wp:positionV relativeFrom="paragraph">
            <wp:posOffset>-2355850</wp:posOffset>
          </wp:positionV>
          <wp:extent cx="7771440" cy="2532380"/>
          <wp:effectExtent l="0" t="0" r="1270" b="1270"/>
          <wp:wrapNone/>
          <wp:docPr id="260" name="Picture 26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E0B57" w14:textId="77777777" w:rsidR="005D33B2" w:rsidRDefault="005D33B2" w:rsidP="00944993">
      <w:pPr>
        <w:spacing w:after="0" w:line="240" w:lineRule="auto"/>
      </w:pPr>
      <w:r>
        <w:separator/>
      </w:r>
    </w:p>
  </w:footnote>
  <w:footnote w:type="continuationSeparator" w:id="0">
    <w:p w14:paraId="6819DABF" w14:textId="77777777" w:rsidR="005D33B2" w:rsidRDefault="005D33B2" w:rsidP="00944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AE17" w14:textId="45C0E176" w:rsidR="00944993" w:rsidRPr="000C293F" w:rsidRDefault="00944993" w:rsidP="00CF0395">
    <w:pPr>
      <w:pStyle w:val="Header"/>
      <w:ind w:hanging="720"/>
      <w:rPr>
        <w:sz w:val="20"/>
        <w:szCs w:val="20"/>
      </w:rPr>
    </w:pPr>
  </w:p>
  <w:p w14:paraId="3A3FDEE2" w14:textId="77777777" w:rsidR="00880EA5" w:rsidRPr="00880EA5" w:rsidRDefault="00880EA5" w:rsidP="00880EA5">
    <w:pPr>
      <w:spacing w:before="360" w:after="0" w:line="204" w:lineRule="auto"/>
      <w:contextualSpacing/>
      <w:rPr>
        <w:rFonts w:ascii="Century Gothic" w:eastAsiaTheme="majorEastAsia" w:hAnsi="Century Gothic" w:cstheme="majorBidi"/>
        <w:caps/>
        <w:color w:val="2B2B2B" w:themeColor="text2"/>
        <w:sz w:val="20"/>
        <w:szCs w:val="20"/>
      </w:rPr>
    </w:pPr>
    <w:r w:rsidRPr="00880EA5">
      <w:rPr>
        <w:rFonts w:ascii="Century Gothic" w:eastAsiaTheme="majorEastAsia" w:hAnsi="Century Gothic" w:cstheme="majorBidi"/>
        <w:caps/>
        <w:color w:val="2B2B2B" w:themeColor="text2"/>
        <w:sz w:val="20"/>
        <w:szCs w:val="20"/>
      </w:rPr>
      <w:t>faq based on call with ACL and SUA Directors on april 22, 2020</w:t>
    </w:r>
  </w:p>
  <w:p w14:paraId="117D1F58" w14:textId="1BA2478F" w:rsidR="00E215C7" w:rsidRPr="003364C4" w:rsidRDefault="00E215C7" w:rsidP="00961A03">
    <w:pPr>
      <w:pStyle w:val="Header"/>
      <w:ind w:hanging="720"/>
      <w:jc w:val="right"/>
      <w:rPr>
        <w:rFonts w:ascii="Century Gothic" w:hAnsi="Century Gothic" w:cstheme="majorHAnsi"/>
        <w:color w:val="461214" w:themeColor="accent1" w:themeShade="8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34E8E" w14:textId="4FD19FFE" w:rsidR="00A01C01" w:rsidRDefault="00A01C01" w:rsidP="00A01C01">
    <w:pPr>
      <w:pStyle w:val="Header"/>
      <w:ind w:hanging="720"/>
    </w:pPr>
    <w:r>
      <w:rPr>
        <w:noProof/>
      </w:rPr>
      <w:drawing>
        <wp:inline distT="0" distB="0" distL="0" distR="0" wp14:anchorId="44A0F89B" wp14:editId="6AEBA5D2">
          <wp:extent cx="7772400" cy="1452194"/>
          <wp:effectExtent l="0" t="0" r="0" b="0"/>
          <wp:docPr id="259" name="Picture 259"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7F0"/>
    <w:multiLevelType w:val="hybridMultilevel"/>
    <w:tmpl w:val="86DE8D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1331C"/>
    <w:multiLevelType w:val="hybridMultilevel"/>
    <w:tmpl w:val="29BA3C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F3C61"/>
    <w:multiLevelType w:val="hybridMultilevel"/>
    <w:tmpl w:val="DB722CC8"/>
    <w:lvl w:ilvl="0" w:tplc="A49EC57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77B44"/>
    <w:multiLevelType w:val="hybridMultilevel"/>
    <w:tmpl w:val="77D0C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88459C"/>
    <w:multiLevelType w:val="hybridMultilevel"/>
    <w:tmpl w:val="99282B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B3E3D"/>
    <w:multiLevelType w:val="hybridMultilevel"/>
    <w:tmpl w:val="EE224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341A5B"/>
    <w:multiLevelType w:val="hybridMultilevel"/>
    <w:tmpl w:val="99282B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82C7E"/>
    <w:multiLevelType w:val="hybridMultilevel"/>
    <w:tmpl w:val="E1FADF7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A180D9D"/>
    <w:multiLevelType w:val="hybridMultilevel"/>
    <w:tmpl w:val="77CC389A"/>
    <w:lvl w:ilvl="0" w:tplc="B0CE624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360C03"/>
    <w:multiLevelType w:val="hybridMultilevel"/>
    <w:tmpl w:val="17E87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71F82"/>
    <w:multiLevelType w:val="hybridMultilevel"/>
    <w:tmpl w:val="FB1053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B23F6D"/>
    <w:multiLevelType w:val="hybridMultilevel"/>
    <w:tmpl w:val="48881A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9B34870"/>
    <w:multiLevelType w:val="hybridMultilevel"/>
    <w:tmpl w:val="4D4CD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3113457"/>
    <w:multiLevelType w:val="hybridMultilevel"/>
    <w:tmpl w:val="E1FADF7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44814EAC"/>
    <w:multiLevelType w:val="hybridMultilevel"/>
    <w:tmpl w:val="436CF9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468D4423"/>
    <w:multiLevelType w:val="hybridMultilevel"/>
    <w:tmpl w:val="903A8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94672"/>
    <w:multiLevelType w:val="hybridMultilevel"/>
    <w:tmpl w:val="557284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40BCE"/>
    <w:multiLevelType w:val="hybridMultilevel"/>
    <w:tmpl w:val="1EDEB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CA4963"/>
    <w:multiLevelType w:val="hybridMultilevel"/>
    <w:tmpl w:val="1AFC8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3527E1"/>
    <w:multiLevelType w:val="hybridMultilevel"/>
    <w:tmpl w:val="415E1A58"/>
    <w:lvl w:ilvl="0" w:tplc="4DAE66F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2D0DD3"/>
    <w:multiLevelType w:val="hybridMultilevel"/>
    <w:tmpl w:val="39DE552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5C950F87"/>
    <w:multiLevelType w:val="hybridMultilevel"/>
    <w:tmpl w:val="3A8683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F5AA0"/>
    <w:multiLevelType w:val="hybridMultilevel"/>
    <w:tmpl w:val="44B8A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45AA9"/>
    <w:multiLevelType w:val="hybridMultilevel"/>
    <w:tmpl w:val="B192D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1C7E30"/>
    <w:multiLevelType w:val="hybridMultilevel"/>
    <w:tmpl w:val="E4FAC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087836"/>
    <w:multiLevelType w:val="hybridMultilevel"/>
    <w:tmpl w:val="E280DA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2377A2"/>
    <w:multiLevelType w:val="hybridMultilevel"/>
    <w:tmpl w:val="5A8E93DA"/>
    <w:lvl w:ilvl="0" w:tplc="779E832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20"/>
  </w:num>
  <w:num w:numId="4">
    <w:abstractNumId w:val="25"/>
  </w:num>
  <w:num w:numId="5">
    <w:abstractNumId w:val="22"/>
  </w:num>
  <w:num w:numId="6">
    <w:abstractNumId w:val="6"/>
  </w:num>
  <w:num w:numId="7">
    <w:abstractNumId w:val="12"/>
  </w:num>
  <w:num w:numId="8">
    <w:abstractNumId w:val="18"/>
  </w:num>
  <w:num w:numId="9">
    <w:abstractNumId w:val="9"/>
  </w:num>
  <w:num w:numId="10">
    <w:abstractNumId w:val="20"/>
  </w:num>
  <w:num w:numId="11">
    <w:abstractNumId w:val="1"/>
  </w:num>
  <w:num w:numId="12">
    <w:abstractNumId w:val="0"/>
  </w:num>
  <w:num w:numId="13">
    <w:abstractNumId w:val="13"/>
  </w:num>
  <w:num w:numId="14">
    <w:abstractNumId w:val="20"/>
  </w:num>
  <w:num w:numId="15">
    <w:abstractNumId w:val="26"/>
  </w:num>
  <w:num w:numId="16">
    <w:abstractNumId w:val="15"/>
  </w:num>
  <w:num w:numId="17">
    <w:abstractNumId w:val="21"/>
  </w:num>
  <w:num w:numId="18">
    <w:abstractNumId w:val="20"/>
  </w:num>
  <w:num w:numId="19">
    <w:abstractNumId w:val="19"/>
  </w:num>
  <w:num w:numId="20">
    <w:abstractNumId w:val="20"/>
  </w:num>
  <w:num w:numId="21">
    <w:abstractNumId w:val="20"/>
  </w:num>
  <w:num w:numId="22">
    <w:abstractNumId w:val="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5"/>
  </w:num>
  <w:num w:numId="29">
    <w:abstractNumId w:val="20"/>
  </w:num>
  <w:num w:numId="30">
    <w:abstractNumId w:val="7"/>
  </w:num>
  <w:num w:numId="31">
    <w:abstractNumId w:val="16"/>
  </w:num>
  <w:num w:numId="32">
    <w:abstractNumId w:val="3"/>
  </w:num>
  <w:num w:numId="33">
    <w:abstractNumId w:val="24"/>
  </w:num>
  <w:num w:numId="34">
    <w:abstractNumId w:val="20"/>
  </w:num>
  <w:num w:numId="35">
    <w:abstractNumId w:val="23"/>
  </w:num>
  <w:num w:numId="36">
    <w:abstractNumId w:val="4"/>
  </w:num>
  <w:num w:numId="37">
    <w:abstractNumId w:val="20"/>
  </w:num>
  <w:num w:numId="3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93"/>
    <w:rsid w:val="00001311"/>
    <w:rsid w:val="00033EE8"/>
    <w:rsid w:val="00037F1D"/>
    <w:rsid w:val="00041940"/>
    <w:rsid w:val="00051BCE"/>
    <w:rsid w:val="000841BD"/>
    <w:rsid w:val="000A28BE"/>
    <w:rsid w:val="000C0EB7"/>
    <w:rsid w:val="000C293F"/>
    <w:rsid w:val="001004A9"/>
    <w:rsid w:val="00116C89"/>
    <w:rsid w:val="001210A2"/>
    <w:rsid w:val="00124FA8"/>
    <w:rsid w:val="00131E50"/>
    <w:rsid w:val="0016738D"/>
    <w:rsid w:val="001771DC"/>
    <w:rsid w:val="00181EEB"/>
    <w:rsid w:val="001878F9"/>
    <w:rsid w:val="001932D9"/>
    <w:rsid w:val="001A7982"/>
    <w:rsid w:val="001C2752"/>
    <w:rsid w:val="001C605A"/>
    <w:rsid w:val="001D045E"/>
    <w:rsid w:val="001E5F86"/>
    <w:rsid w:val="001E7FD6"/>
    <w:rsid w:val="001F1D35"/>
    <w:rsid w:val="002171DC"/>
    <w:rsid w:val="002261B3"/>
    <w:rsid w:val="00226C07"/>
    <w:rsid w:val="00247FC2"/>
    <w:rsid w:val="00255F9A"/>
    <w:rsid w:val="002617B0"/>
    <w:rsid w:val="002618E3"/>
    <w:rsid w:val="0028282F"/>
    <w:rsid w:val="0028369D"/>
    <w:rsid w:val="00284CA9"/>
    <w:rsid w:val="002A45F2"/>
    <w:rsid w:val="002B2EC8"/>
    <w:rsid w:val="002C054F"/>
    <w:rsid w:val="002C24B9"/>
    <w:rsid w:val="002C270A"/>
    <w:rsid w:val="002D60C1"/>
    <w:rsid w:val="002D6AB7"/>
    <w:rsid w:val="002E3B47"/>
    <w:rsid w:val="002E57B5"/>
    <w:rsid w:val="002F76B9"/>
    <w:rsid w:val="00304776"/>
    <w:rsid w:val="00321C6E"/>
    <w:rsid w:val="00331BA9"/>
    <w:rsid w:val="003364C4"/>
    <w:rsid w:val="003426E2"/>
    <w:rsid w:val="00345FBC"/>
    <w:rsid w:val="00382430"/>
    <w:rsid w:val="0038517D"/>
    <w:rsid w:val="003907DE"/>
    <w:rsid w:val="003928C5"/>
    <w:rsid w:val="00392EAE"/>
    <w:rsid w:val="003C152C"/>
    <w:rsid w:val="003C7270"/>
    <w:rsid w:val="003D055D"/>
    <w:rsid w:val="003D2A72"/>
    <w:rsid w:val="003D4A16"/>
    <w:rsid w:val="003D6E07"/>
    <w:rsid w:val="003F3BD8"/>
    <w:rsid w:val="00424B63"/>
    <w:rsid w:val="00425DA8"/>
    <w:rsid w:val="00440037"/>
    <w:rsid w:val="0044052A"/>
    <w:rsid w:val="004609AB"/>
    <w:rsid w:val="00467927"/>
    <w:rsid w:val="00477C28"/>
    <w:rsid w:val="004800DD"/>
    <w:rsid w:val="00493DF0"/>
    <w:rsid w:val="004A5055"/>
    <w:rsid w:val="004A601D"/>
    <w:rsid w:val="004B12DB"/>
    <w:rsid w:val="004C1CC9"/>
    <w:rsid w:val="004E3501"/>
    <w:rsid w:val="004F7AB7"/>
    <w:rsid w:val="00506A22"/>
    <w:rsid w:val="00587057"/>
    <w:rsid w:val="005A1A65"/>
    <w:rsid w:val="005A4B34"/>
    <w:rsid w:val="005A4BC6"/>
    <w:rsid w:val="005B38CC"/>
    <w:rsid w:val="005B5D73"/>
    <w:rsid w:val="005C1FE3"/>
    <w:rsid w:val="005D0FFE"/>
    <w:rsid w:val="005D33B2"/>
    <w:rsid w:val="005E73E2"/>
    <w:rsid w:val="005F2530"/>
    <w:rsid w:val="006045C4"/>
    <w:rsid w:val="00616DD6"/>
    <w:rsid w:val="006307CE"/>
    <w:rsid w:val="006312BA"/>
    <w:rsid w:val="00634126"/>
    <w:rsid w:val="0063435D"/>
    <w:rsid w:val="00657C48"/>
    <w:rsid w:val="00676983"/>
    <w:rsid w:val="00676DEE"/>
    <w:rsid w:val="006A1909"/>
    <w:rsid w:val="006A20AB"/>
    <w:rsid w:val="006B3D8D"/>
    <w:rsid w:val="006C320B"/>
    <w:rsid w:val="006C3438"/>
    <w:rsid w:val="006C5FA0"/>
    <w:rsid w:val="006D0966"/>
    <w:rsid w:val="006E59E5"/>
    <w:rsid w:val="00731E16"/>
    <w:rsid w:val="007559E7"/>
    <w:rsid w:val="007638B6"/>
    <w:rsid w:val="00782AEA"/>
    <w:rsid w:val="00786063"/>
    <w:rsid w:val="0079325A"/>
    <w:rsid w:val="007953FB"/>
    <w:rsid w:val="007A2848"/>
    <w:rsid w:val="007B64E3"/>
    <w:rsid w:val="007E46FE"/>
    <w:rsid w:val="007F3B15"/>
    <w:rsid w:val="008054E0"/>
    <w:rsid w:val="00826CA2"/>
    <w:rsid w:val="00832FA4"/>
    <w:rsid w:val="00847A18"/>
    <w:rsid w:val="00847BEA"/>
    <w:rsid w:val="00866ECE"/>
    <w:rsid w:val="00880EA5"/>
    <w:rsid w:val="008903BF"/>
    <w:rsid w:val="00892F88"/>
    <w:rsid w:val="008A0415"/>
    <w:rsid w:val="008A1C6A"/>
    <w:rsid w:val="008A5335"/>
    <w:rsid w:val="008B65E7"/>
    <w:rsid w:val="008C4C77"/>
    <w:rsid w:val="00903BCA"/>
    <w:rsid w:val="00933085"/>
    <w:rsid w:val="009374A3"/>
    <w:rsid w:val="00944993"/>
    <w:rsid w:val="00961A03"/>
    <w:rsid w:val="009664EA"/>
    <w:rsid w:val="00967F6A"/>
    <w:rsid w:val="00970184"/>
    <w:rsid w:val="0097176C"/>
    <w:rsid w:val="00974341"/>
    <w:rsid w:val="009A452C"/>
    <w:rsid w:val="009C059F"/>
    <w:rsid w:val="009D712E"/>
    <w:rsid w:val="009E7426"/>
    <w:rsid w:val="009E7853"/>
    <w:rsid w:val="00A01C01"/>
    <w:rsid w:val="00A04319"/>
    <w:rsid w:val="00A17A69"/>
    <w:rsid w:val="00A254DD"/>
    <w:rsid w:val="00A641C7"/>
    <w:rsid w:val="00A65155"/>
    <w:rsid w:val="00A737EA"/>
    <w:rsid w:val="00A87B9F"/>
    <w:rsid w:val="00AC6156"/>
    <w:rsid w:val="00B00A1E"/>
    <w:rsid w:val="00B078FD"/>
    <w:rsid w:val="00B532E7"/>
    <w:rsid w:val="00B578BB"/>
    <w:rsid w:val="00B67174"/>
    <w:rsid w:val="00B76B5D"/>
    <w:rsid w:val="00B808DC"/>
    <w:rsid w:val="00B84C15"/>
    <w:rsid w:val="00B95990"/>
    <w:rsid w:val="00BB78A4"/>
    <w:rsid w:val="00C0554A"/>
    <w:rsid w:val="00C31F15"/>
    <w:rsid w:val="00C3338F"/>
    <w:rsid w:val="00C51674"/>
    <w:rsid w:val="00C5439B"/>
    <w:rsid w:val="00C578F6"/>
    <w:rsid w:val="00C816E3"/>
    <w:rsid w:val="00C86DB8"/>
    <w:rsid w:val="00C86FBC"/>
    <w:rsid w:val="00C94B54"/>
    <w:rsid w:val="00CB3E17"/>
    <w:rsid w:val="00CB7118"/>
    <w:rsid w:val="00CC5F35"/>
    <w:rsid w:val="00CE132A"/>
    <w:rsid w:val="00CF0395"/>
    <w:rsid w:val="00D07DF7"/>
    <w:rsid w:val="00D11A4D"/>
    <w:rsid w:val="00D2295E"/>
    <w:rsid w:val="00D24FA3"/>
    <w:rsid w:val="00D30CE0"/>
    <w:rsid w:val="00D36987"/>
    <w:rsid w:val="00D63CD9"/>
    <w:rsid w:val="00D67541"/>
    <w:rsid w:val="00D74050"/>
    <w:rsid w:val="00D769E9"/>
    <w:rsid w:val="00D85188"/>
    <w:rsid w:val="00D931F3"/>
    <w:rsid w:val="00DA015E"/>
    <w:rsid w:val="00DA6D81"/>
    <w:rsid w:val="00DC57F2"/>
    <w:rsid w:val="00DD1B43"/>
    <w:rsid w:val="00DD3483"/>
    <w:rsid w:val="00DD3485"/>
    <w:rsid w:val="00DF01B6"/>
    <w:rsid w:val="00DF562F"/>
    <w:rsid w:val="00E203F7"/>
    <w:rsid w:val="00E215C7"/>
    <w:rsid w:val="00E23FB6"/>
    <w:rsid w:val="00E42206"/>
    <w:rsid w:val="00E525B1"/>
    <w:rsid w:val="00E64A08"/>
    <w:rsid w:val="00E8435D"/>
    <w:rsid w:val="00E9369E"/>
    <w:rsid w:val="00E9633B"/>
    <w:rsid w:val="00E97C9D"/>
    <w:rsid w:val="00EA0077"/>
    <w:rsid w:val="00EF17B5"/>
    <w:rsid w:val="00EF5359"/>
    <w:rsid w:val="00F01057"/>
    <w:rsid w:val="00F04978"/>
    <w:rsid w:val="00F05A47"/>
    <w:rsid w:val="00F11A81"/>
    <w:rsid w:val="00F15E35"/>
    <w:rsid w:val="00F22893"/>
    <w:rsid w:val="00F25483"/>
    <w:rsid w:val="00F718F3"/>
    <w:rsid w:val="00F76C2E"/>
    <w:rsid w:val="00F87A89"/>
    <w:rsid w:val="00F96A26"/>
    <w:rsid w:val="00FE2185"/>
    <w:rsid w:val="00FE76AB"/>
    <w:rsid w:val="00FF1D02"/>
    <w:rsid w:val="00FF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E18DBC"/>
  <w15:chartTrackingRefBased/>
  <w15:docId w15:val="{20BA9E01-28CC-4807-AD0F-3D85B401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C89"/>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basedOn w:val="NoSpacing"/>
    <w:uiPriority w:val="34"/>
    <w:qFormat/>
    <w:rsid w:val="00F22893"/>
    <w:pPr>
      <w:numPr>
        <w:numId w:val="3"/>
      </w:numPr>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
    <w:name w:val="Unresolved Mention"/>
    <w:basedOn w:val="DefaultParagraphFont"/>
    <w:uiPriority w:val="99"/>
    <w:semiHidden/>
    <w:unhideWhenUsed/>
    <w:rsid w:val="0028369D"/>
    <w:rPr>
      <w:color w:val="605E5C"/>
      <w:shd w:val="clear" w:color="auto" w:fill="E1DFDD"/>
    </w:rPr>
  </w:style>
  <w:style w:type="paragraph" w:styleId="PlainText">
    <w:name w:val="Plain Text"/>
    <w:basedOn w:val="Normal"/>
    <w:link w:val="PlainTextChar"/>
    <w:uiPriority w:val="99"/>
    <w:unhideWhenUsed/>
    <w:rsid w:val="00DD3483"/>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DD3483"/>
    <w:rPr>
      <w:rFonts w:ascii="Calibri" w:eastAsia="Times New Roman" w:hAnsi="Calibri" w:cs="Times New Roman"/>
      <w:szCs w:val="21"/>
    </w:rPr>
  </w:style>
  <w:style w:type="character" w:styleId="CommentReference">
    <w:name w:val="annotation reference"/>
    <w:basedOn w:val="DefaultParagraphFont"/>
    <w:uiPriority w:val="99"/>
    <w:semiHidden/>
    <w:unhideWhenUsed/>
    <w:rsid w:val="00345FBC"/>
    <w:rPr>
      <w:sz w:val="16"/>
      <w:szCs w:val="16"/>
    </w:rPr>
  </w:style>
  <w:style w:type="paragraph" w:styleId="CommentText">
    <w:name w:val="annotation text"/>
    <w:basedOn w:val="Normal"/>
    <w:link w:val="CommentTextChar"/>
    <w:uiPriority w:val="99"/>
    <w:semiHidden/>
    <w:unhideWhenUsed/>
    <w:rsid w:val="00345FBC"/>
    <w:pPr>
      <w:spacing w:line="240" w:lineRule="auto"/>
    </w:pPr>
    <w:rPr>
      <w:sz w:val="20"/>
      <w:szCs w:val="20"/>
    </w:rPr>
  </w:style>
  <w:style w:type="character" w:customStyle="1" w:styleId="CommentTextChar">
    <w:name w:val="Comment Text Char"/>
    <w:basedOn w:val="DefaultParagraphFont"/>
    <w:link w:val="CommentText"/>
    <w:uiPriority w:val="99"/>
    <w:semiHidden/>
    <w:rsid w:val="00345FBC"/>
    <w:rPr>
      <w:sz w:val="20"/>
      <w:szCs w:val="20"/>
    </w:rPr>
  </w:style>
  <w:style w:type="paragraph" w:styleId="CommentSubject">
    <w:name w:val="annotation subject"/>
    <w:basedOn w:val="CommentText"/>
    <w:next w:val="CommentText"/>
    <w:link w:val="CommentSubjectChar"/>
    <w:uiPriority w:val="99"/>
    <w:semiHidden/>
    <w:unhideWhenUsed/>
    <w:rsid w:val="00345FBC"/>
    <w:rPr>
      <w:b/>
      <w:bCs/>
    </w:rPr>
  </w:style>
  <w:style w:type="character" w:customStyle="1" w:styleId="CommentSubjectChar">
    <w:name w:val="Comment Subject Char"/>
    <w:basedOn w:val="CommentTextChar"/>
    <w:link w:val="CommentSubject"/>
    <w:uiPriority w:val="99"/>
    <w:semiHidden/>
    <w:rsid w:val="00345FBC"/>
    <w:rPr>
      <w:b/>
      <w:bCs/>
      <w:sz w:val="20"/>
      <w:szCs w:val="20"/>
    </w:rPr>
  </w:style>
  <w:style w:type="paragraph" w:styleId="BalloonText">
    <w:name w:val="Balloon Text"/>
    <w:basedOn w:val="Normal"/>
    <w:link w:val="BalloonTextChar"/>
    <w:uiPriority w:val="99"/>
    <w:semiHidden/>
    <w:unhideWhenUsed/>
    <w:rsid w:val="00345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FBC"/>
    <w:rPr>
      <w:rFonts w:ascii="Segoe UI" w:hAnsi="Segoe UI" w:cs="Segoe UI"/>
      <w:sz w:val="18"/>
      <w:szCs w:val="18"/>
    </w:rPr>
  </w:style>
  <w:style w:type="paragraph" w:styleId="Revision">
    <w:name w:val="Revision"/>
    <w:hidden/>
    <w:uiPriority w:val="99"/>
    <w:semiHidden/>
    <w:rsid w:val="00832FA4"/>
    <w:pPr>
      <w:spacing w:after="0" w:line="240" w:lineRule="auto"/>
    </w:pPr>
  </w:style>
  <w:style w:type="paragraph" w:customStyle="1" w:styleId="CM4">
    <w:name w:val="CM4"/>
    <w:basedOn w:val="Normal"/>
    <w:uiPriority w:val="99"/>
    <w:rsid w:val="009C059F"/>
    <w:pPr>
      <w:autoSpaceDE w:val="0"/>
      <w:autoSpaceDN w:val="0"/>
      <w:spacing w:after="0" w:line="278" w:lineRule="atLeast"/>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2741">
      <w:bodyDiv w:val="1"/>
      <w:marLeft w:val="0"/>
      <w:marRight w:val="0"/>
      <w:marTop w:val="0"/>
      <w:marBottom w:val="0"/>
      <w:divBdr>
        <w:top w:val="none" w:sz="0" w:space="0" w:color="auto"/>
        <w:left w:val="none" w:sz="0" w:space="0" w:color="auto"/>
        <w:bottom w:val="none" w:sz="0" w:space="0" w:color="auto"/>
        <w:right w:val="none" w:sz="0" w:space="0" w:color="auto"/>
      </w:divBdr>
    </w:div>
    <w:div w:id="973564265">
      <w:bodyDiv w:val="1"/>
      <w:marLeft w:val="0"/>
      <w:marRight w:val="0"/>
      <w:marTop w:val="0"/>
      <w:marBottom w:val="0"/>
      <w:divBdr>
        <w:top w:val="none" w:sz="0" w:space="0" w:color="auto"/>
        <w:left w:val="none" w:sz="0" w:space="0" w:color="auto"/>
        <w:bottom w:val="none" w:sz="0" w:space="0" w:color="auto"/>
        <w:right w:val="none" w:sz="0" w:space="0" w:color="auto"/>
      </w:divBdr>
    </w:div>
    <w:div w:id="1118109879">
      <w:bodyDiv w:val="1"/>
      <w:marLeft w:val="0"/>
      <w:marRight w:val="0"/>
      <w:marTop w:val="0"/>
      <w:marBottom w:val="0"/>
      <w:divBdr>
        <w:top w:val="none" w:sz="0" w:space="0" w:color="auto"/>
        <w:left w:val="none" w:sz="0" w:space="0" w:color="auto"/>
        <w:bottom w:val="none" w:sz="0" w:space="0" w:color="auto"/>
        <w:right w:val="none" w:sz="0" w:space="0" w:color="auto"/>
      </w:divBdr>
    </w:div>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 w:id="1148090121">
      <w:bodyDiv w:val="1"/>
      <w:marLeft w:val="0"/>
      <w:marRight w:val="0"/>
      <w:marTop w:val="0"/>
      <w:marBottom w:val="0"/>
      <w:divBdr>
        <w:top w:val="none" w:sz="0" w:space="0" w:color="auto"/>
        <w:left w:val="none" w:sz="0" w:space="0" w:color="auto"/>
        <w:bottom w:val="none" w:sz="0" w:space="0" w:color="auto"/>
        <w:right w:val="none" w:sz="0" w:space="0" w:color="auto"/>
      </w:divBdr>
    </w:div>
    <w:div w:id="1150637956">
      <w:bodyDiv w:val="1"/>
      <w:marLeft w:val="0"/>
      <w:marRight w:val="0"/>
      <w:marTop w:val="0"/>
      <w:marBottom w:val="0"/>
      <w:divBdr>
        <w:top w:val="none" w:sz="0" w:space="0" w:color="auto"/>
        <w:left w:val="none" w:sz="0" w:space="0" w:color="auto"/>
        <w:bottom w:val="none" w:sz="0" w:space="0" w:color="auto"/>
        <w:right w:val="none" w:sz="0" w:space="0" w:color="auto"/>
      </w:divBdr>
    </w:div>
    <w:div w:id="1491603603">
      <w:bodyDiv w:val="1"/>
      <w:marLeft w:val="0"/>
      <w:marRight w:val="0"/>
      <w:marTop w:val="0"/>
      <w:marBottom w:val="0"/>
      <w:divBdr>
        <w:top w:val="none" w:sz="0" w:space="0" w:color="auto"/>
        <w:left w:val="none" w:sz="0" w:space="0" w:color="auto"/>
        <w:bottom w:val="none" w:sz="0" w:space="0" w:color="auto"/>
        <w:right w:val="none" w:sz="0" w:space="0" w:color="auto"/>
      </w:divBdr>
    </w:div>
    <w:div w:id="1572427640">
      <w:bodyDiv w:val="1"/>
      <w:marLeft w:val="0"/>
      <w:marRight w:val="0"/>
      <w:marTop w:val="0"/>
      <w:marBottom w:val="0"/>
      <w:divBdr>
        <w:top w:val="none" w:sz="0" w:space="0" w:color="auto"/>
        <w:left w:val="none" w:sz="0" w:space="0" w:color="auto"/>
        <w:bottom w:val="none" w:sz="0" w:space="0" w:color="auto"/>
        <w:right w:val="none" w:sz="0" w:space="0" w:color="auto"/>
      </w:divBdr>
    </w:div>
    <w:div w:id="1876459248">
      <w:bodyDiv w:val="1"/>
      <w:marLeft w:val="0"/>
      <w:marRight w:val="0"/>
      <w:marTop w:val="0"/>
      <w:marBottom w:val="0"/>
      <w:divBdr>
        <w:top w:val="none" w:sz="0" w:space="0" w:color="auto"/>
        <w:left w:val="none" w:sz="0" w:space="0" w:color="auto"/>
        <w:bottom w:val="none" w:sz="0" w:space="0" w:color="auto"/>
        <w:right w:val="none" w:sz="0" w:space="0" w:color="auto"/>
      </w:divBdr>
    </w:div>
    <w:div w:id="213073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l.gov/sites/default/files/common/AoA%20-%20Ombudsman%20Program%20CARES%20Act%20FAQ%27s%20FINAL.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inganddisabilitybusinessinstitute.org/resources/hospital-without-walls-new-opportunities-for-cbo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EF6404866DB4D9982E0DAD74EB5A5" ma:contentTypeVersion="13" ma:contentTypeDescription="Create a new document." ma:contentTypeScope="" ma:versionID="4dbccb96b4e8c09674ea1b998ec7e0df">
  <xsd:schema xmlns:xsd="http://www.w3.org/2001/XMLSchema" xmlns:xs="http://www.w3.org/2001/XMLSchema" xmlns:p="http://schemas.microsoft.com/office/2006/metadata/properties" xmlns:ns2="9c4568af-78d6-4de7-8a7f-d4a1b22f7f5e" xmlns:ns3="cba8d4a1-0a1c-4299-93a5-2682bf5a17ad" targetNamespace="http://schemas.microsoft.com/office/2006/metadata/properties" ma:root="true" ma:fieldsID="917f1a3b2c7ab97210bf28cd914e1558" ns2:_="" ns3:_="">
    <xsd:import namespace="9c4568af-78d6-4de7-8a7f-d4a1b22f7f5e"/>
    <xsd:import namespace="cba8d4a1-0a1c-4299-93a5-2682bf5a17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TEST"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568af-78d6-4de7-8a7f-d4a1b22f7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8d4a1-0a1c-4299-93a5-2682bf5a17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TEST" ma:index="15" nillable="true" ma:displayName="TEST" ma:default="0" ma:internalName="TEST">
      <xsd:simpleType>
        <xsd:restriction base="dms:Boolea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 xmlns="cba8d4a1-0a1c-4299-93a5-2682bf5a17ad">false</TE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40F0F-DFB6-41E9-A9FF-889A334C0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568af-78d6-4de7-8a7f-d4a1b22f7f5e"/>
    <ds:schemaRef ds:uri="cba8d4a1-0a1c-4299-93a5-2682bf5a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3442B-1472-4387-891A-1215A651A37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c4568af-78d6-4de7-8a7f-d4a1b22f7f5e"/>
    <ds:schemaRef ds:uri="http://purl.org/dc/elements/1.1/"/>
    <ds:schemaRef ds:uri="http://schemas.microsoft.com/office/2006/metadata/properties"/>
    <ds:schemaRef ds:uri="cba8d4a1-0a1c-4299-93a5-2682bf5a17ad"/>
    <ds:schemaRef ds:uri="http://www.w3.org/XML/1998/namespace"/>
    <ds:schemaRef ds:uri="http://purl.org/dc/dcmitype/"/>
  </ds:schemaRefs>
</ds:datastoreItem>
</file>

<file path=customXml/itemProps3.xml><?xml version="1.0" encoding="utf-8"?>
<ds:datastoreItem xmlns:ds="http://schemas.openxmlformats.org/officeDocument/2006/customXml" ds:itemID="{3B3DC804-0777-4E0D-8026-3A1A7BD26FD4}">
  <ds:schemaRefs>
    <ds:schemaRef ds:uri="http://schemas.microsoft.com/sharepoint/v3/contenttype/forms"/>
  </ds:schemaRefs>
</ds:datastoreItem>
</file>

<file path=customXml/itemProps4.xml><?xml version="1.0" encoding="utf-8"?>
<ds:datastoreItem xmlns:ds="http://schemas.openxmlformats.org/officeDocument/2006/customXml" ds:itemID="{FD535C17-D3D1-4156-AF35-B65DB9303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ACL COVID-19 Response</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 COVID-19 Response</dc:title>
  <dc:subject/>
  <dc:creator>Administration for Community Living</dc:creator>
  <cp:keywords/>
  <dc:description/>
  <cp:lastModifiedBy>Walker, Edwin L. (ACL)</cp:lastModifiedBy>
  <cp:revision>2</cp:revision>
  <dcterms:created xsi:type="dcterms:W3CDTF">2020-04-29T13:34:00Z</dcterms:created>
  <dcterms:modified xsi:type="dcterms:W3CDTF">2020-04-29T13:34:00Z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0x010100C0BEF6404866DB4D9982E0DAD74EB5A5</vt:lpwstr>
  </property>
</Properties>
</file>